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782F5" w14:textId="27FC10EA" w:rsidR="002432E1" w:rsidRDefault="0038685B" w:rsidP="00527E3A">
      <w:pPr>
        <w:ind w:left="0" w:hanging="2"/>
        <w:jc w:val="both"/>
        <w:rPr>
          <w:rFonts w:ascii="Times New Roman" w:eastAsia="Times New Roman" w:hAnsi="Times New Roman"/>
        </w:rPr>
      </w:pPr>
      <w:r>
        <w:rPr>
          <w:rFonts w:ascii="Times New Roman" w:eastAsia="Times New Roman" w:hAnsi="Times New Roman"/>
        </w:rPr>
        <w:t xml:space="preserve"> </w:t>
      </w:r>
    </w:p>
    <w:tbl>
      <w:tblPr>
        <w:tblStyle w:val="a0"/>
        <w:tblW w:w="94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1"/>
        <w:gridCol w:w="1941"/>
        <w:gridCol w:w="1159"/>
        <w:gridCol w:w="2020"/>
        <w:gridCol w:w="1237"/>
      </w:tblGrid>
      <w:tr w:rsidR="002432E1" w14:paraId="31571E36" w14:textId="77777777">
        <w:trPr>
          <w:trHeight w:val="227"/>
          <w:jc w:val="center"/>
        </w:trPr>
        <w:tc>
          <w:tcPr>
            <w:tcW w:w="9468" w:type="dxa"/>
            <w:gridSpan w:val="5"/>
            <w:vAlign w:val="center"/>
          </w:tcPr>
          <w:p w14:paraId="1357FB79" w14:textId="0C21ADF6" w:rsidR="002432E1" w:rsidRDefault="0038685B" w:rsidP="00527E3A">
            <w:pPr>
              <w:tabs>
                <w:tab w:val="left" w:pos="567"/>
              </w:tabs>
              <w:spacing w:after="60"/>
              <w:ind w:left="0" w:hanging="2"/>
              <w:jc w:val="both"/>
              <w:rPr>
                <w:rFonts w:ascii="Times New Roman" w:eastAsia="Times New Roman" w:hAnsi="Times New Roman"/>
                <w:sz w:val="16"/>
                <w:szCs w:val="16"/>
              </w:rPr>
            </w:pPr>
            <w:r>
              <w:rPr>
                <w:rFonts w:ascii="Times New Roman" w:eastAsia="Times New Roman" w:hAnsi="Times New Roman"/>
                <w:b/>
                <w:sz w:val="20"/>
                <w:szCs w:val="20"/>
              </w:rPr>
              <w:t xml:space="preserve">Студијски програм: </w:t>
            </w:r>
            <w:r>
              <w:rPr>
                <w:rFonts w:ascii="Times New Roman" w:eastAsia="Times New Roman" w:hAnsi="Times New Roman"/>
                <w:sz w:val="20"/>
                <w:szCs w:val="20"/>
              </w:rPr>
              <w:t>Студије рода</w:t>
            </w:r>
          </w:p>
        </w:tc>
      </w:tr>
      <w:tr w:rsidR="002432E1" w14:paraId="79DC4569" w14:textId="77777777">
        <w:trPr>
          <w:trHeight w:val="227"/>
          <w:jc w:val="center"/>
        </w:trPr>
        <w:tc>
          <w:tcPr>
            <w:tcW w:w="9468" w:type="dxa"/>
            <w:gridSpan w:val="5"/>
            <w:vAlign w:val="center"/>
          </w:tcPr>
          <w:p w14:paraId="762EBB81"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b/>
                <w:sz w:val="20"/>
                <w:szCs w:val="20"/>
              </w:rPr>
              <w:t xml:space="preserve">Назив предмета: </w:t>
            </w:r>
            <w:r>
              <w:rPr>
                <w:rFonts w:ascii="Times New Roman" w:eastAsia="Times New Roman" w:hAnsi="Times New Roman"/>
                <w:sz w:val="20"/>
                <w:szCs w:val="20"/>
              </w:rPr>
              <w:t>Феминизам и демократија</w:t>
            </w:r>
          </w:p>
        </w:tc>
      </w:tr>
      <w:tr w:rsidR="002432E1" w14:paraId="00ABDD34" w14:textId="77777777">
        <w:trPr>
          <w:trHeight w:val="227"/>
          <w:jc w:val="center"/>
        </w:trPr>
        <w:tc>
          <w:tcPr>
            <w:tcW w:w="9468" w:type="dxa"/>
            <w:gridSpan w:val="5"/>
            <w:vAlign w:val="center"/>
          </w:tcPr>
          <w:p w14:paraId="125FCF99" w14:textId="0D18EC8D"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b/>
                <w:sz w:val="20"/>
                <w:szCs w:val="20"/>
              </w:rPr>
              <w:t xml:space="preserve">Наставник/наставници: </w:t>
            </w:r>
            <w:r w:rsidR="00527E3A" w:rsidRPr="00527E3A">
              <w:rPr>
                <w:rFonts w:ascii="Times New Roman" w:eastAsia="Times New Roman" w:hAnsi="Times New Roman"/>
                <w:bCs/>
                <w:sz w:val="20"/>
                <w:szCs w:val="20"/>
                <w:lang w:val="sr-Cyrl-RS"/>
              </w:rPr>
              <w:t>доц. др</w:t>
            </w:r>
            <w:r w:rsidR="00527E3A">
              <w:rPr>
                <w:rFonts w:ascii="Times New Roman" w:eastAsia="Times New Roman" w:hAnsi="Times New Roman"/>
                <w:b/>
                <w:sz w:val="20"/>
                <w:szCs w:val="20"/>
                <w:lang w:val="sr-Cyrl-RS"/>
              </w:rPr>
              <w:t xml:space="preserve"> </w:t>
            </w:r>
            <w:r>
              <w:rPr>
                <w:rFonts w:ascii="Times New Roman" w:eastAsia="Times New Roman" w:hAnsi="Times New Roman"/>
                <w:sz w:val="20"/>
                <w:szCs w:val="20"/>
              </w:rPr>
              <w:t>Ђорђевић Биљана</w:t>
            </w:r>
          </w:p>
        </w:tc>
      </w:tr>
      <w:tr w:rsidR="002432E1" w14:paraId="480C9650" w14:textId="77777777">
        <w:trPr>
          <w:trHeight w:val="227"/>
          <w:jc w:val="center"/>
        </w:trPr>
        <w:tc>
          <w:tcPr>
            <w:tcW w:w="9468" w:type="dxa"/>
            <w:gridSpan w:val="5"/>
            <w:vAlign w:val="center"/>
          </w:tcPr>
          <w:p w14:paraId="5C51C558"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b/>
                <w:sz w:val="20"/>
                <w:szCs w:val="20"/>
              </w:rPr>
              <w:t xml:space="preserve">Статус предмета: </w:t>
            </w:r>
            <w:r>
              <w:rPr>
                <w:rFonts w:ascii="Times New Roman" w:eastAsia="Times New Roman" w:hAnsi="Times New Roman"/>
                <w:sz w:val="20"/>
                <w:szCs w:val="20"/>
              </w:rPr>
              <w:t>Изборни</w:t>
            </w:r>
          </w:p>
        </w:tc>
      </w:tr>
      <w:tr w:rsidR="002432E1" w14:paraId="6AACE72C" w14:textId="77777777">
        <w:trPr>
          <w:trHeight w:val="227"/>
          <w:jc w:val="center"/>
        </w:trPr>
        <w:tc>
          <w:tcPr>
            <w:tcW w:w="9468" w:type="dxa"/>
            <w:gridSpan w:val="5"/>
            <w:vAlign w:val="center"/>
          </w:tcPr>
          <w:p w14:paraId="25EF5C19"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b/>
                <w:sz w:val="20"/>
                <w:szCs w:val="20"/>
              </w:rPr>
              <w:t xml:space="preserve">Број ЕСПБ: </w:t>
            </w:r>
            <w:r>
              <w:rPr>
                <w:rFonts w:ascii="Times New Roman" w:eastAsia="Times New Roman" w:hAnsi="Times New Roman"/>
                <w:sz w:val="20"/>
                <w:szCs w:val="20"/>
              </w:rPr>
              <w:t>6</w:t>
            </w:r>
          </w:p>
        </w:tc>
      </w:tr>
      <w:tr w:rsidR="002432E1" w14:paraId="19316F95" w14:textId="77777777">
        <w:trPr>
          <w:trHeight w:val="227"/>
          <w:jc w:val="center"/>
        </w:trPr>
        <w:tc>
          <w:tcPr>
            <w:tcW w:w="9468" w:type="dxa"/>
            <w:gridSpan w:val="5"/>
            <w:vAlign w:val="center"/>
          </w:tcPr>
          <w:p w14:paraId="062D76C1"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b/>
                <w:sz w:val="20"/>
                <w:szCs w:val="20"/>
              </w:rPr>
              <w:t xml:space="preserve">Услов: </w:t>
            </w:r>
          </w:p>
        </w:tc>
      </w:tr>
      <w:tr w:rsidR="002432E1" w14:paraId="2CF911A2" w14:textId="77777777">
        <w:trPr>
          <w:trHeight w:val="227"/>
          <w:jc w:val="center"/>
        </w:trPr>
        <w:tc>
          <w:tcPr>
            <w:tcW w:w="9468" w:type="dxa"/>
            <w:gridSpan w:val="5"/>
            <w:vAlign w:val="center"/>
          </w:tcPr>
          <w:p w14:paraId="189253B7" w14:textId="77777777" w:rsidR="002432E1" w:rsidRDefault="0038685B" w:rsidP="00527E3A">
            <w:pPr>
              <w:tabs>
                <w:tab w:val="left" w:pos="567"/>
              </w:tabs>
              <w:spacing w:after="60"/>
              <w:ind w:left="0" w:hanging="2"/>
              <w:jc w:val="both"/>
              <w:rPr>
                <w:rFonts w:ascii="Times New Roman" w:eastAsia="Times New Roman" w:hAnsi="Times New Roman"/>
                <w:b/>
                <w:sz w:val="20"/>
                <w:szCs w:val="20"/>
              </w:rPr>
            </w:pPr>
            <w:r>
              <w:rPr>
                <w:rFonts w:ascii="Times New Roman" w:eastAsia="Times New Roman" w:hAnsi="Times New Roman"/>
                <w:b/>
                <w:sz w:val="20"/>
                <w:szCs w:val="20"/>
              </w:rPr>
              <w:t>Циљ предмета</w:t>
            </w:r>
          </w:p>
          <w:p w14:paraId="40A249E1" w14:textId="77777777" w:rsidR="002432E1" w:rsidRDefault="0038685B" w:rsidP="00527E3A">
            <w:pPr>
              <w:shd w:val="clear" w:color="auto" w:fill="FFFFFF"/>
              <w:tabs>
                <w:tab w:val="left" w:pos="567"/>
              </w:tabs>
              <w:spacing w:before="240" w:after="240"/>
              <w:ind w:left="0" w:hanging="2"/>
              <w:jc w:val="both"/>
              <w:rPr>
                <w:rFonts w:ascii="Times New Roman" w:eastAsia="Times New Roman" w:hAnsi="Times New Roman"/>
                <w:sz w:val="20"/>
                <w:szCs w:val="20"/>
              </w:rPr>
            </w:pPr>
            <w:r>
              <w:rPr>
                <w:rFonts w:ascii="Times New Roman" w:eastAsia="Times New Roman" w:hAnsi="Times New Roman"/>
                <w:sz w:val="20"/>
                <w:szCs w:val="20"/>
              </w:rPr>
              <w:t>Курс треба да уведе кључне појмове савремене феминистичке  и  демократске политичке теорије. Ове појмовне целине обрађују се проблемски уз анализу савремених политичких теорија главног тока. Проблеми ће бити анализирани тако да се најважнији политички феномени  везани за питања рода поставе у перспективу различитих теорија демократије: либералне, делиберативне, демократије разлике, радикалне и агонистичке, партиципативне, локалне демократије и теорије новог муниципализма.  Циљ предмета је да се објасни традиционално одсуство жена из начина на који се конципира политичко, заједница, држава и нација, јавност, грађанство и представљање али и да се укаже на предлоге различитих теорија демократије како се може уважити значај и унапредити положај жена, односно начин на који је могуће укључити жене у демократске политичке процесе: како у њихово осмишљавање тако и спровођење.</w:t>
            </w:r>
          </w:p>
        </w:tc>
      </w:tr>
      <w:tr w:rsidR="002432E1" w14:paraId="02FD9F1D" w14:textId="77777777">
        <w:trPr>
          <w:trHeight w:val="227"/>
          <w:jc w:val="center"/>
        </w:trPr>
        <w:tc>
          <w:tcPr>
            <w:tcW w:w="9468" w:type="dxa"/>
            <w:gridSpan w:val="5"/>
            <w:vAlign w:val="center"/>
          </w:tcPr>
          <w:p w14:paraId="6A2645F9"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b/>
                <w:sz w:val="20"/>
                <w:szCs w:val="20"/>
              </w:rPr>
              <w:t xml:space="preserve">Исход предмета </w:t>
            </w:r>
          </w:p>
          <w:p w14:paraId="59573E4B" w14:textId="77777777" w:rsidR="002432E1" w:rsidRDefault="0038685B" w:rsidP="00527E3A">
            <w:pPr>
              <w:shd w:val="clear" w:color="auto" w:fill="FFFFFF"/>
              <w:tabs>
                <w:tab w:val="left" w:pos="567"/>
              </w:tabs>
              <w:spacing w:before="240" w:after="240"/>
              <w:ind w:left="0" w:hanging="2"/>
              <w:jc w:val="both"/>
              <w:rPr>
                <w:rFonts w:ascii="Times New Roman" w:eastAsia="Times New Roman" w:hAnsi="Times New Roman"/>
                <w:sz w:val="20"/>
                <w:szCs w:val="20"/>
              </w:rPr>
            </w:pPr>
            <w:r>
              <w:rPr>
                <w:rFonts w:ascii="Times New Roman" w:eastAsia="Times New Roman" w:hAnsi="Times New Roman"/>
                <w:sz w:val="20"/>
                <w:szCs w:val="20"/>
              </w:rPr>
              <w:t>Студенти и студенткиње треба да усвоје знања о проблемима савремене феминистичке и демократске политичке теорије, као и да развију моћ разумевања и тумачења појава које их окружују. Кроз рад на вежбама које су конципиране у форми анализе кључних текстова из ове области, студенти и студенткиње развијају способност критичког приступа тексту и појмовима, с једне стране, и проблемима са питањима рода у окружењу, с друге стране.</w:t>
            </w:r>
          </w:p>
        </w:tc>
      </w:tr>
      <w:tr w:rsidR="002432E1" w14:paraId="1DB09548" w14:textId="77777777">
        <w:trPr>
          <w:trHeight w:val="227"/>
          <w:jc w:val="center"/>
        </w:trPr>
        <w:tc>
          <w:tcPr>
            <w:tcW w:w="9468" w:type="dxa"/>
            <w:gridSpan w:val="5"/>
            <w:vAlign w:val="center"/>
          </w:tcPr>
          <w:p w14:paraId="56CDC32C"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b/>
                <w:sz w:val="20"/>
                <w:szCs w:val="20"/>
              </w:rPr>
              <w:t>Садржај предмета</w:t>
            </w:r>
          </w:p>
          <w:p w14:paraId="2EC54C33"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i/>
                <w:sz w:val="20"/>
                <w:szCs w:val="20"/>
              </w:rPr>
              <w:t>Теоријска настава:</w:t>
            </w:r>
          </w:p>
          <w:p w14:paraId="62090981"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sz w:val="20"/>
                <w:szCs w:val="20"/>
              </w:rPr>
              <w:t>Пол, политика и политичко; род и сексуалност у изградњи државе и нације; јавно и приватно; жене и грађанство; прерасподела и признање; проблем представљања жена; делиберативна демократија; демократија разлике као критика делиберативне демократије; радикална и агонистичка демократија и агонистички феминизам; партиципативна демократија и феминизам; локална политика, муниципализам и феминизација политике, феминистички активизам на постјугословенском простору.</w:t>
            </w:r>
          </w:p>
          <w:p w14:paraId="0FBE96EC"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i/>
                <w:sz w:val="20"/>
                <w:szCs w:val="20"/>
              </w:rPr>
              <w:t xml:space="preserve">Практична настава (семинари, вежбе, самостални истраживачки рад):  </w:t>
            </w:r>
            <w:r>
              <w:rPr>
                <w:rFonts w:ascii="Times New Roman" w:eastAsia="Times New Roman" w:hAnsi="Times New Roman"/>
                <w:sz w:val="20"/>
                <w:szCs w:val="20"/>
              </w:rPr>
              <w:t xml:space="preserve">Анализа текстова из савремене феминистичке политичке теорије и савремене демократске политичке теорије. </w:t>
            </w:r>
          </w:p>
        </w:tc>
      </w:tr>
      <w:tr w:rsidR="002432E1" w14:paraId="77299813" w14:textId="77777777">
        <w:trPr>
          <w:trHeight w:val="227"/>
          <w:jc w:val="center"/>
        </w:trPr>
        <w:tc>
          <w:tcPr>
            <w:tcW w:w="9468" w:type="dxa"/>
            <w:gridSpan w:val="5"/>
            <w:vAlign w:val="center"/>
          </w:tcPr>
          <w:p w14:paraId="1A5BB1D1"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b/>
                <w:sz w:val="20"/>
                <w:szCs w:val="20"/>
              </w:rPr>
              <w:t>Литература</w:t>
            </w:r>
          </w:p>
          <w:p w14:paraId="4AC15D6A" w14:textId="77777777" w:rsidR="002432E1" w:rsidRDefault="0038685B" w:rsidP="00527E3A">
            <w:pPr>
              <w:shd w:val="clear" w:color="auto" w:fill="FFFFFF"/>
              <w:tabs>
                <w:tab w:val="left" w:pos="567"/>
              </w:tabs>
              <w:spacing w:before="240" w:after="240"/>
              <w:ind w:left="0" w:hanging="2"/>
              <w:jc w:val="both"/>
              <w:rPr>
                <w:rFonts w:ascii="Times New Roman" w:eastAsia="Times New Roman" w:hAnsi="Times New Roman"/>
                <w:sz w:val="20"/>
                <w:szCs w:val="20"/>
              </w:rPr>
            </w:pPr>
            <w:r>
              <w:rPr>
                <w:rFonts w:ascii="Times New Roman" w:eastAsia="Times New Roman" w:hAnsi="Times New Roman"/>
                <w:i/>
                <w:sz w:val="20"/>
                <w:szCs w:val="20"/>
              </w:rPr>
              <w:t>Обавезна:</w:t>
            </w:r>
            <w:r>
              <w:rPr>
                <w:rFonts w:ascii="Times New Roman" w:eastAsia="Times New Roman" w:hAnsi="Times New Roman"/>
                <w:sz w:val="20"/>
                <w:szCs w:val="20"/>
              </w:rPr>
              <w:t xml:space="preserve"> Wendy Brown, “Where is the Sex in Political Theory?” </w:t>
            </w:r>
            <w:r>
              <w:rPr>
                <w:rFonts w:ascii="Times New Roman" w:eastAsia="Times New Roman" w:hAnsi="Times New Roman"/>
                <w:i/>
                <w:sz w:val="20"/>
                <w:szCs w:val="20"/>
              </w:rPr>
              <w:t>Women &amp; Politics</w:t>
            </w:r>
            <w:r>
              <w:rPr>
                <w:rFonts w:ascii="Times New Roman" w:eastAsia="Times New Roman" w:hAnsi="Times New Roman"/>
                <w:sz w:val="20"/>
                <w:szCs w:val="20"/>
              </w:rPr>
              <w:t>, 7, 1 (1987): 3-23; Emily Hauptmann, “A Local History of ‘The Political’”,</w:t>
            </w:r>
            <w:r>
              <w:rPr>
                <w:rFonts w:ascii="Times New Roman" w:eastAsia="Times New Roman" w:hAnsi="Times New Roman"/>
                <w:i/>
                <w:sz w:val="20"/>
                <w:szCs w:val="20"/>
              </w:rPr>
              <w:t xml:space="preserve"> Political Theory</w:t>
            </w:r>
            <w:r>
              <w:rPr>
                <w:rFonts w:ascii="Times New Roman" w:eastAsia="Times New Roman" w:hAnsi="Times New Roman"/>
                <w:sz w:val="20"/>
                <w:szCs w:val="20"/>
              </w:rPr>
              <w:t xml:space="preserve"> 32 (2004), 34-60; Joane Nagel. “Masculinity and Nationalism: Gender and Sexuality in the Making of Nations”. </w:t>
            </w:r>
            <w:r>
              <w:rPr>
                <w:rFonts w:ascii="Times New Roman" w:eastAsia="Times New Roman" w:hAnsi="Times New Roman"/>
                <w:i/>
                <w:sz w:val="20"/>
                <w:szCs w:val="20"/>
              </w:rPr>
              <w:t>Ethnic and Racial Studies</w:t>
            </w:r>
            <w:r>
              <w:rPr>
                <w:rFonts w:ascii="Times New Roman" w:eastAsia="Times New Roman" w:hAnsi="Times New Roman"/>
                <w:sz w:val="20"/>
                <w:szCs w:val="20"/>
              </w:rPr>
              <w:t xml:space="preserve"> 21, 2 (1998): 242-26; Umut Erel,“Saving and Reproducing the Nation: Struggles around Right-wing politics of Social Reproduction, Gender and Race in Austerity Europe.” </w:t>
            </w:r>
            <w:r>
              <w:rPr>
                <w:rFonts w:ascii="Times New Roman" w:eastAsia="Times New Roman" w:hAnsi="Times New Roman"/>
                <w:i/>
                <w:sz w:val="20"/>
                <w:szCs w:val="20"/>
              </w:rPr>
              <w:t>Women’s Studies International Forum</w:t>
            </w:r>
            <w:r>
              <w:rPr>
                <w:rFonts w:ascii="Times New Roman" w:eastAsia="Times New Roman" w:hAnsi="Times New Roman"/>
                <w:sz w:val="20"/>
                <w:szCs w:val="20"/>
              </w:rPr>
              <w:t xml:space="preserve"> 68 (2018): 173-182; Susan Moller Okin, “Gender, the Public and the Private”. In </w:t>
            </w:r>
            <w:r>
              <w:rPr>
                <w:rFonts w:ascii="Times New Roman" w:eastAsia="Times New Roman" w:hAnsi="Times New Roman"/>
                <w:i/>
                <w:sz w:val="20"/>
                <w:szCs w:val="20"/>
              </w:rPr>
              <w:t>Feminism and Politics</w:t>
            </w:r>
            <w:r>
              <w:rPr>
                <w:rFonts w:ascii="Times New Roman" w:eastAsia="Times New Roman" w:hAnsi="Times New Roman"/>
                <w:sz w:val="20"/>
                <w:szCs w:val="20"/>
              </w:rPr>
              <w:t xml:space="preserve">, ed. Anne Phillips, 116-141; Carole Pateman, “Feminism and Democracy”. </w:t>
            </w:r>
            <w:r>
              <w:rPr>
                <w:rFonts w:ascii="Times New Roman" w:eastAsia="Times New Roman" w:hAnsi="Times New Roman"/>
                <w:i/>
                <w:sz w:val="20"/>
                <w:szCs w:val="20"/>
              </w:rPr>
              <w:t>Citizenship</w:t>
            </w:r>
            <w:r>
              <w:rPr>
                <w:rFonts w:ascii="Times New Roman" w:eastAsia="Times New Roman" w:hAnsi="Times New Roman"/>
                <w:sz w:val="20"/>
                <w:szCs w:val="20"/>
              </w:rPr>
              <w:t xml:space="preserve"> 2 (1983): 372-385; Alison M. Jaggar, “Arenas of Citizenship: Civil Society, the State, and the Global Order”. In </w:t>
            </w:r>
            <w:r>
              <w:rPr>
                <w:rFonts w:ascii="Times New Roman" w:eastAsia="Times New Roman" w:hAnsi="Times New Roman"/>
                <w:i/>
                <w:sz w:val="20"/>
                <w:szCs w:val="20"/>
              </w:rPr>
              <w:t>Women and Citizenship</w:t>
            </w:r>
            <w:r>
              <w:rPr>
                <w:rFonts w:ascii="Times New Roman" w:eastAsia="Times New Roman" w:hAnsi="Times New Roman"/>
                <w:sz w:val="20"/>
                <w:szCs w:val="20"/>
              </w:rPr>
              <w:t xml:space="preserve">, ed. Marilyn Friedman, 91-110. Oxford: Oxford University Press, 2005; Joan Tronto, “Care as the Work of Citizens: A Modest Proposal”. In </w:t>
            </w:r>
            <w:r>
              <w:rPr>
                <w:rFonts w:ascii="Times New Roman" w:eastAsia="Times New Roman" w:hAnsi="Times New Roman"/>
                <w:i/>
                <w:sz w:val="20"/>
                <w:szCs w:val="20"/>
              </w:rPr>
              <w:t>Women and Citizenship</w:t>
            </w:r>
            <w:r>
              <w:rPr>
                <w:rFonts w:ascii="Times New Roman" w:eastAsia="Times New Roman" w:hAnsi="Times New Roman"/>
                <w:sz w:val="20"/>
                <w:szCs w:val="20"/>
              </w:rPr>
              <w:t xml:space="preserve">, ed. Marilyn Friedman, 130-145. Oxford: Oxford University Press, 2005; Iris Marion Young, “Structural Injustice and Politics of Difference”. In </w:t>
            </w:r>
            <w:r>
              <w:rPr>
                <w:rFonts w:ascii="Times New Roman" w:eastAsia="Times New Roman" w:hAnsi="Times New Roman"/>
                <w:i/>
                <w:sz w:val="20"/>
                <w:szCs w:val="20"/>
              </w:rPr>
              <w:t>Contemporary Debates in Political Philosophy</w:t>
            </w:r>
            <w:r>
              <w:rPr>
                <w:rFonts w:ascii="Times New Roman" w:eastAsia="Times New Roman" w:hAnsi="Times New Roman"/>
                <w:sz w:val="20"/>
                <w:szCs w:val="20"/>
              </w:rPr>
              <w:t xml:space="preserve">, edited by Thomas Christiano and John Christman, 362-383. Chichester: Blackwell Publishing, 2009; Nancy Fraser, “From Redistribution to Recognition? Dilemmas of Justice in a 'Postsocialist' Age”. In </w:t>
            </w:r>
            <w:r>
              <w:rPr>
                <w:rFonts w:ascii="Times New Roman" w:eastAsia="Times New Roman" w:hAnsi="Times New Roman"/>
                <w:i/>
                <w:sz w:val="20"/>
                <w:szCs w:val="20"/>
              </w:rPr>
              <w:t>Justice Interruptus: Critical Reflections on the "Postsocialist" Condition</w:t>
            </w:r>
            <w:r>
              <w:rPr>
                <w:rFonts w:ascii="Times New Roman" w:eastAsia="Times New Roman" w:hAnsi="Times New Roman"/>
                <w:sz w:val="20"/>
                <w:szCs w:val="20"/>
              </w:rPr>
              <w:t xml:space="preserve">, Nancy Fraser. New York: Routledge, 1997, 11-39. (Reprinted from New Left Review 212, 1995); Virginia Sapiro, </w:t>
            </w:r>
            <w:r>
              <w:rPr>
                <w:rFonts w:ascii="Times New Roman" w:eastAsia="Times New Roman" w:hAnsi="Times New Roman"/>
                <w:sz w:val="20"/>
                <w:szCs w:val="20"/>
              </w:rPr>
              <w:lastRenderedPageBreak/>
              <w:t xml:space="preserve">“When are Interests Interesting? The Problem of Political Representation of Women”. In </w:t>
            </w:r>
            <w:r>
              <w:rPr>
                <w:rFonts w:ascii="Times New Roman" w:eastAsia="Times New Roman" w:hAnsi="Times New Roman"/>
                <w:i/>
                <w:sz w:val="20"/>
                <w:szCs w:val="20"/>
              </w:rPr>
              <w:t>Feminism and Politics</w:t>
            </w:r>
            <w:r>
              <w:rPr>
                <w:rFonts w:ascii="Times New Roman" w:eastAsia="Times New Roman" w:hAnsi="Times New Roman"/>
                <w:sz w:val="20"/>
                <w:szCs w:val="20"/>
              </w:rPr>
              <w:t xml:space="preserve">, ed. Anne Phillips, 161-192. Oxford: Oxford University Press, 1998; Anne Phillips, “Democracy and Representation: Or, Why Should it Matter Who our Representatives Are?” In </w:t>
            </w:r>
            <w:r>
              <w:rPr>
                <w:rFonts w:ascii="Times New Roman" w:eastAsia="Times New Roman" w:hAnsi="Times New Roman"/>
                <w:i/>
                <w:sz w:val="20"/>
                <w:szCs w:val="20"/>
              </w:rPr>
              <w:t>Feminism and Politics</w:t>
            </w:r>
            <w:r>
              <w:rPr>
                <w:rFonts w:ascii="Times New Roman" w:eastAsia="Times New Roman" w:hAnsi="Times New Roman"/>
                <w:sz w:val="20"/>
                <w:szCs w:val="20"/>
              </w:rPr>
              <w:t xml:space="preserve">, ed. Anne Phillips, 224-240. Oxford: Oxford University Press, 1998; Seyla Benhabib, Seyla. “Deliberative Rationality and models of Democratic Legitimacy”. </w:t>
            </w:r>
            <w:r>
              <w:rPr>
                <w:rFonts w:ascii="Times New Roman" w:eastAsia="Times New Roman" w:hAnsi="Times New Roman"/>
                <w:i/>
                <w:sz w:val="20"/>
                <w:szCs w:val="20"/>
              </w:rPr>
              <w:t>Constellations</w:t>
            </w:r>
            <w:r>
              <w:rPr>
                <w:rFonts w:ascii="Times New Roman" w:eastAsia="Times New Roman" w:hAnsi="Times New Roman"/>
                <w:sz w:val="20"/>
                <w:szCs w:val="20"/>
              </w:rPr>
              <w:t xml:space="preserve"> 1, 1 (1994): 26-52; Seyla Benhabib, “Democratic Exclusions and Democratic Iterations: Dilemmas of Just Membership' and Prospects of Cosmopolitan Federalism.” </w:t>
            </w:r>
            <w:r>
              <w:rPr>
                <w:rFonts w:ascii="Times New Roman" w:eastAsia="Times New Roman" w:hAnsi="Times New Roman"/>
                <w:i/>
                <w:sz w:val="20"/>
                <w:szCs w:val="20"/>
              </w:rPr>
              <w:t>European Journal of Political Theory</w:t>
            </w:r>
            <w:r>
              <w:rPr>
                <w:rFonts w:ascii="Times New Roman" w:eastAsia="Times New Roman" w:hAnsi="Times New Roman"/>
                <w:sz w:val="20"/>
                <w:szCs w:val="20"/>
              </w:rPr>
              <w:t xml:space="preserve"> 6, 4 (2007): 445-462; Lynn Sanders, “Against Deliberation.” </w:t>
            </w:r>
            <w:r>
              <w:rPr>
                <w:rFonts w:ascii="Times New Roman" w:eastAsia="Times New Roman" w:hAnsi="Times New Roman"/>
                <w:i/>
                <w:sz w:val="20"/>
                <w:szCs w:val="20"/>
              </w:rPr>
              <w:t>Political Theory</w:t>
            </w:r>
            <w:r>
              <w:rPr>
                <w:rFonts w:ascii="Times New Roman" w:eastAsia="Times New Roman" w:hAnsi="Times New Roman"/>
                <w:sz w:val="20"/>
                <w:szCs w:val="20"/>
              </w:rPr>
              <w:t xml:space="preserve"> 25, 3 (1997): 347-376; Iris Marion Young, “Communication and the Other: Beyond Deliberative Democracy.” In </w:t>
            </w:r>
            <w:r>
              <w:rPr>
                <w:rFonts w:ascii="Times New Roman" w:eastAsia="Times New Roman" w:hAnsi="Times New Roman"/>
                <w:i/>
                <w:sz w:val="20"/>
                <w:szCs w:val="20"/>
              </w:rPr>
              <w:t>Democracy and Difference: Contesting the Boundaries of the Political</w:t>
            </w:r>
            <w:r>
              <w:rPr>
                <w:rFonts w:ascii="Times New Roman" w:eastAsia="Times New Roman" w:hAnsi="Times New Roman"/>
                <w:sz w:val="20"/>
                <w:szCs w:val="20"/>
              </w:rPr>
              <w:t xml:space="preserve">, ed. Seyla Benhabib, 120-135. New Jersey: Princeton University Press, 1996; Шантал Муф “Феминизам, принцип грађанства и радикална демократска политика”. У </w:t>
            </w:r>
            <w:r>
              <w:rPr>
                <w:rFonts w:ascii="Times New Roman" w:eastAsia="Times New Roman" w:hAnsi="Times New Roman"/>
                <w:i/>
                <w:sz w:val="20"/>
                <w:szCs w:val="20"/>
              </w:rPr>
              <w:t>Феминисткиње теоретизују политичко</w:t>
            </w:r>
            <w:r>
              <w:rPr>
                <w:rFonts w:ascii="Times New Roman" w:eastAsia="Times New Roman" w:hAnsi="Times New Roman"/>
                <w:sz w:val="20"/>
                <w:szCs w:val="20"/>
              </w:rPr>
              <w:t xml:space="preserve">, уред. Џудит Батлер и Џоан Скот, 391-406. Београд: Центар за женске студије, 2006; Holloway, Sparks, “When Dissident Citizens Are Militant Mamas: Intersectional Gender and Agonistic Struggle in Welfare Rights Activism ”. </w:t>
            </w:r>
            <w:r>
              <w:rPr>
                <w:rFonts w:ascii="Times New Roman" w:eastAsia="Times New Roman" w:hAnsi="Times New Roman"/>
                <w:i/>
                <w:sz w:val="20"/>
                <w:szCs w:val="20"/>
              </w:rPr>
              <w:t>Politics &amp; Gender</w:t>
            </w:r>
            <w:r>
              <w:rPr>
                <w:rFonts w:ascii="Times New Roman" w:eastAsia="Times New Roman" w:hAnsi="Times New Roman"/>
                <w:sz w:val="20"/>
                <w:szCs w:val="20"/>
              </w:rPr>
              <w:t xml:space="preserve">, 12 (2016), 623–647; Carole Pateman,“Freedom and Democratization: Why Basic Income is to be Preferred to Basic Capital” In </w:t>
            </w:r>
            <w:r>
              <w:rPr>
                <w:rFonts w:ascii="Times New Roman" w:eastAsia="Times New Roman" w:hAnsi="Times New Roman"/>
                <w:i/>
                <w:sz w:val="20"/>
                <w:szCs w:val="20"/>
              </w:rPr>
              <w:t>The Ethics of Stakeholding</w:t>
            </w:r>
            <w:r>
              <w:rPr>
                <w:rFonts w:ascii="Times New Roman" w:eastAsia="Times New Roman" w:hAnsi="Times New Roman"/>
                <w:sz w:val="20"/>
                <w:szCs w:val="20"/>
              </w:rPr>
              <w:t xml:space="preserve">, eds. Keith Dowding et al., 130-148. Palgrave Macmillan 2003; Jone Martínez Palacios, “The Sex of Participatory Democracy. An Analysis of the Theoretical Approaches and Experiences of Participatory Democracy from a Feminist Viewpoint”. </w:t>
            </w:r>
            <w:r>
              <w:rPr>
                <w:rFonts w:ascii="Times New Roman" w:eastAsia="Times New Roman" w:hAnsi="Times New Roman"/>
                <w:i/>
                <w:sz w:val="20"/>
                <w:szCs w:val="20"/>
              </w:rPr>
              <w:t>Democratization</w:t>
            </w:r>
            <w:r>
              <w:rPr>
                <w:rFonts w:ascii="Times New Roman" w:eastAsia="Times New Roman" w:hAnsi="Times New Roman"/>
                <w:sz w:val="20"/>
                <w:szCs w:val="20"/>
              </w:rPr>
              <w:t xml:space="preserve"> 23, 5 (2015): 940-959; Murray Bookchin, </w:t>
            </w:r>
            <w:r>
              <w:rPr>
                <w:rFonts w:ascii="Times New Roman" w:eastAsia="Times New Roman" w:hAnsi="Times New Roman"/>
                <w:i/>
                <w:sz w:val="20"/>
                <w:szCs w:val="20"/>
              </w:rPr>
              <w:t>The Next Revolution: Popular Assemblies and the Promise of Direct Democracy</w:t>
            </w:r>
            <w:r>
              <w:rPr>
                <w:rFonts w:ascii="Times New Roman" w:eastAsia="Times New Roman" w:hAnsi="Times New Roman"/>
                <w:sz w:val="20"/>
                <w:szCs w:val="20"/>
              </w:rPr>
              <w:t xml:space="preserve"> (London: Verso, 2015), 47-86; Anne Phillips, “Feminism and the Attractions of the Local”. In </w:t>
            </w:r>
            <w:r>
              <w:rPr>
                <w:rFonts w:ascii="Times New Roman" w:eastAsia="Times New Roman" w:hAnsi="Times New Roman"/>
                <w:i/>
                <w:sz w:val="20"/>
                <w:szCs w:val="20"/>
              </w:rPr>
              <w:t>Rethinking Local Democracy</w:t>
            </w:r>
            <w:r>
              <w:rPr>
                <w:rFonts w:ascii="Times New Roman" w:eastAsia="Times New Roman" w:hAnsi="Times New Roman"/>
                <w:sz w:val="20"/>
                <w:szCs w:val="20"/>
              </w:rPr>
              <w:t xml:space="preserve">, ed. in Gerry Stoker and Desmond King, 111-129. Basingstoke: Macmillan 1996; Laura Roth and Kate Shea Baird. “Municipalism and the Feminization of Politics”. </w:t>
            </w:r>
            <w:r>
              <w:rPr>
                <w:rFonts w:ascii="Times New Roman" w:eastAsia="Times New Roman" w:hAnsi="Times New Roman"/>
                <w:i/>
                <w:sz w:val="20"/>
                <w:szCs w:val="20"/>
              </w:rPr>
              <w:t>ROAR Magazine</w:t>
            </w:r>
            <w:r>
              <w:rPr>
                <w:rFonts w:ascii="Times New Roman" w:eastAsia="Times New Roman" w:hAnsi="Times New Roman"/>
                <w:sz w:val="20"/>
                <w:szCs w:val="20"/>
              </w:rPr>
              <w:t xml:space="preserve">, Issue 6, October 2017; Adriana Zaharijević, “Dissidents, Disloyal Citizens and Partisans of Emancipation: Feminist Citizenship in Yugoslavia and Post-Yugoslav Spaces.” </w:t>
            </w:r>
            <w:r>
              <w:rPr>
                <w:rFonts w:ascii="Times New Roman" w:eastAsia="Times New Roman" w:hAnsi="Times New Roman"/>
                <w:i/>
                <w:sz w:val="20"/>
                <w:szCs w:val="20"/>
              </w:rPr>
              <w:t>Women Studies International Forum</w:t>
            </w:r>
            <w:r>
              <w:rPr>
                <w:rFonts w:ascii="Times New Roman" w:eastAsia="Times New Roman" w:hAnsi="Times New Roman"/>
                <w:sz w:val="20"/>
                <w:szCs w:val="20"/>
              </w:rPr>
              <w:t xml:space="preserve"> 49 (2015): 93–100; Zorica Siročić, “Something New, Something Old and Something Borrowed: The Post-Yugoslav Millennial Feminists in a Search for Interpretative Repertoires”.</w:t>
            </w:r>
            <w:r>
              <w:rPr>
                <w:rFonts w:ascii="Times New Roman" w:eastAsia="Times New Roman" w:hAnsi="Times New Roman"/>
                <w:i/>
                <w:sz w:val="20"/>
                <w:szCs w:val="20"/>
              </w:rPr>
              <w:t xml:space="preserve"> Women Studies International Forum</w:t>
            </w:r>
            <w:r>
              <w:rPr>
                <w:rFonts w:ascii="Times New Roman" w:eastAsia="Times New Roman" w:hAnsi="Times New Roman"/>
                <w:sz w:val="20"/>
                <w:szCs w:val="20"/>
              </w:rPr>
              <w:t>н77 (2019): 1-8, https://doi.org/10.1016/j.wsif.2019.02.014.</w:t>
            </w:r>
          </w:p>
        </w:tc>
      </w:tr>
      <w:tr w:rsidR="002432E1" w14:paraId="4D46D855" w14:textId="77777777">
        <w:trPr>
          <w:trHeight w:val="227"/>
          <w:jc w:val="center"/>
        </w:trPr>
        <w:tc>
          <w:tcPr>
            <w:tcW w:w="3111" w:type="dxa"/>
            <w:vAlign w:val="center"/>
          </w:tcPr>
          <w:p w14:paraId="11BC18AD"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b/>
                <w:sz w:val="20"/>
                <w:szCs w:val="20"/>
              </w:rPr>
              <w:lastRenderedPageBreak/>
              <w:t>Број часова  активне наставе</w:t>
            </w:r>
          </w:p>
        </w:tc>
        <w:tc>
          <w:tcPr>
            <w:tcW w:w="3100" w:type="dxa"/>
            <w:gridSpan w:val="2"/>
            <w:vAlign w:val="center"/>
          </w:tcPr>
          <w:p w14:paraId="670BB107" w14:textId="1A0B2420" w:rsidR="002432E1" w:rsidRPr="00527E3A" w:rsidRDefault="0038685B" w:rsidP="00527E3A">
            <w:pPr>
              <w:tabs>
                <w:tab w:val="left" w:pos="567"/>
              </w:tabs>
              <w:spacing w:after="60"/>
              <w:ind w:left="0" w:hanging="2"/>
              <w:jc w:val="both"/>
              <w:rPr>
                <w:rFonts w:ascii="Times New Roman" w:eastAsia="Times New Roman" w:hAnsi="Times New Roman"/>
                <w:b/>
                <w:sz w:val="20"/>
                <w:szCs w:val="20"/>
                <w:lang w:val="sr-Cyrl-RS"/>
              </w:rPr>
            </w:pPr>
            <w:r>
              <w:rPr>
                <w:rFonts w:ascii="Times New Roman" w:eastAsia="Times New Roman" w:hAnsi="Times New Roman"/>
                <w:b/>
                <w:sz w:val="20"/>
                <w:szCs w:val="20"/>
              </w:rPr>
              <w:t xml:space="preserve">Теоријска настава: </w:t>
            </w:r>
            <w:r w:rsidR="00527E3A" w:rsidRPr="00527E3A">
              <w:rPr>
                <w:rFonts w:ascii="Times New Roman" w:eastAsia="Times New Roman" w:hAnsi="Times New Roman"/>
                <w:bCs/>
                <w:sz w:val="20"/>
                <w:szCs w:val="20"/>
                <w:lang w:val="sr-Cyrl-RS"/>
              </w:rPr>
              <w:t>30</w:t>
            </w:r>
          </w:p>
        </w:tc>
        <w:tc>
          <w:tcPr>
            <w:tcW w:w="3257" w:type="dxa"/>
            <w:gridSpan w:val="2"/>
            <w:vAlign w:val="center"/>
          </w:tcPr>
          <w:p w14:paraId="1C1ADAC1" w14:textId="05C4986D" w:rsidR="002432E1" w:rsidRPr="00527E3A" w:rsidRDefault="0038685B" w:rsidP="00527E3A">
            <w:pPr>
              <w:tabs>
                <w:tab w:val="left" w:pos="567"/>
              </w:tabs>
              <w:spacing w:after="60"/>
              <w:ind w:left="0" w:hanging="2"/>
              <w:jc w:val="both"/>
              <w:rPr>
                <w:rFonts w:ascii="Times New Roman" w:eastAsia="Times New Roman" w:hAnsi="Times New Roman"/>
                <w:sz w:val="20"/>
                <w:szCs w:val="20"/>
                <w:lang w:val="sr-Cyrl-RS"/>
              </w:rPr>
            </w:pPr>
            <w:r>
              <w:rPr>
                <w:rFonts w:ascii="Times New Roman" w:eastAsia="Times New Roman" w:hAnsi="Times New Roman"/>
                <w:b/>
                <w:sz w:val="20"/>
                <w:szCs w:val="20"/>
              </w:rPr>
              <w:t>Практична настава:</w:t>
            </w:r>
            <w:r>
              <w:rPr>
                <w:rFonts w:ascii="Times New Roman" w:eastAsia="Times New Roman" w:hAnsi="Times New Roman"/>
                <w:sz w:val="20"/>
                <w:szCs w:val="20"/>
              </w:rPr>
              <w:t xml:space="preserve"> </w:t>
            </w:r>
            <w:r w:rsidR="00527E3A">
              <w:rPr>
                <w:rFonts w:ascii="Times New Roman" w:eastAsia="Times New Roman" w:hAnsi="Times New Roman"/>
                <w:sz w:val="20"/>
                <w:szCs w:val="20"/>
                <w:lang w:val="sr-Cyrl-RS"/>
              </w:rPr>
              <w:t>15+15 (СИР)</w:t>
            </w:r>
          </w:p>
        </w:tc>
      </w:tr>
      <w:tr w:rsidR="002432E1" w14:paraId="28967DCD" w14:textId="77777777">
        <w:trPr>
          <w:trHeight w:val="227"/>
          <w:jc w:val="center"/>
        </w:trPr>
        <w:tc>
          <w:tcPr>
            <w:tcW w:w="9468" w:type="dxa"/>
            <w:gridSpan w:val="5"/>
            <w:vAlign w:val="center"/>
          </w:tcPr>
          <w:p w14:paraId="31E613E4"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b/>
                <w:sz w:val="20"/>
                <w:szCs w:val="20"/>
              </w:rPr>
              <w:t>Методе извођења наставе</w:t>
            </w:r>
          </w:p>
          <w:p w14:paraId="6295D197"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sz w:val="20"/>
                <w:szCs w:val="20"/>
              </w:rPr>
              <w:t xml:space="preserve">Предавања, вежбе, анализа текста и критичке рефлексије о задатим текстовима; презентације, писање есеја, самостални истраживачки рад </w:t>
            </w:r>
          </w:p>
        </w:tc>
      </w:tr>
      <w:tr w:rsidR="002432E1" w14:paraId="296C6761" w14:textId="77777777">
        <w:trPr>
          <w:trHeight w:val="227"/>
          <w:jc w:val="center"/>
        </w:trPr>
        <w:tc>
          <w:tcPr>
            <w:tcW w:w="9468" w:type="dxa"/>
            <w:gridSpan w:val="5"/>
            <w:vAlign w:val="center"/>
          </w:tcPr>
          <w:p w14:paraId="3064E330"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b/>
                <w:sz w:val="20"/>
                <w:szCs w:val="20"/>
              </w:rPr>
              <w:t>Оцена  знања (максимални број поена 100)</w:t>
            </w:r>
          </w:p>
        </w:tc>
      </w:tr>
      <w:tr w:rsidR="002432E1" w14:paraId="0A0EF9BC" w14:textId="77777777">
        <w:trPr>
          <w:trHeight w:val="227"/>
          <w:jc w:val="center"/>
        </w:trPr>
        <w:tc>
          <w:tcPr>
            <w:tcW w:w="3111" w:type="dxa"/>
            <w:vAlign w:val="center"/>
          </w:tcPr>
          <w:p w14:paraId="3EC6BDE5"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b/>
                <w:sz w:val="20"/>
                <w:szCs w:val="20"/>
              </w:rPr>
              <w:t>Предиспитне обавезе</w:t>
            </w:r>
          </w:p>
        </w:tc>
        <w:tc>
          <w:tcPr>
            <w:tcW w:w="1941" w:type="dxa"/>
            <w:vAlign w:val="center"/>
          </w:tcPr>
          <w:p w14:paraId="696FC2DF"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sz w:val="20"/>
                <w:szCs w:val="20"/>
              </w:rPr>
              <w:t>поена</w:t>
            </w:r>
          </w:p>
          <w:p w14:paraId="7F93C631" w14:textId="77777777" w:rsidR="002432E1" w:rsidRDefault="002432E1" w:rsidP="00527E3A">
            <w:pPr>
              <w:tabs>
                <w:tab w:val="left" w:pos="567"/>
              </w:tabs>
              <w:spacing w:after="60"/>
              <w:ind w:left="0" w:hanging="2"/>
              <w:jc w:val="both"/>
              <w:rPr>
                <w:rFonts w:ascii="Times New Roman" w:eastAsia="Times New Roman" w:hAnsi="Times New Roman"/>
                <w:sz w:val="20"/>
                <w:szCs w:val="20"/>
              </w:rPr>
            </w:pPr>
          </w:p>
        </w:tc>
        <w:tc>
          <w:tcPr>
            <w:tcW w:w="3179" w:type="dxa"/>
            <w:gridSpan w:val="2"/>
            <w:vAlign w:val="center"/>
          </w:tcPr>
          <w:p w14:paraId="63273631"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b/>
                <w:sz w:val="20"/>
                <w:szCs w:val="20"/>
              </w:rPr>
              <w:t xml:space="preserve">Завршни испит </w:t>
            </w:r>
          </w:p>
        </w:tc>
        <w:tc>
          <w:tcPr>
            <w:tcW w:w="1237" w:type="dxa"/>
            <w:vAlign w:val="center"/>
          </w:tcPr>
          <w:p w14:paraId="7256E152"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sz w:val="20"/>
                <w:szCs w:val="20"/>
              </w:rPr>
              <w:t>поена</w:t>
            </w:r>
          </w:p>
        </w:tc>
      </w:tr>
      <w:tr w:rsidR="002432E1" w14:paraId="5026363B" w14:textId="77777777">
        <w:trPr>
          <w:trHeight w:val="227"/>
          <w:jc w:val="center"/>
        </w:trPr>
        <w:tc>
          <w:tcPr>
            <w:tcW w:w="3111" w:type="dxa"/>
            <w:vAlign w:val="center"/>
          </w:tcPr>
          <w:p w14:paraId="7B8F46FC"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sz w:val="20"/>
                <w:szCs w:val="20"/>
              </w:rPr>
              <w:t>активност у току предавања</w:t>
            </w:r>
          </w:p>
        </w:tc>
        <w:tc>
          <w:tcPr>
            <w:tcW w:w="1941" w:type="dxa"/>
            <w:vAlign w:val="center"/>
          </w:tcPr>
          <w:p w14:paraId="42A31966" w14:textId="77777777" w:rsidR="002432E1" w:rsidRPr="00527E3A" w:rsidRDefault="0038685B" w:rsidP="00527E3A">
            <w:pPr>
              <w:tabs>
                <w:tab w:val="left" w:pos="567"/>
              </w:tabs>
              <w:spacing w:after="60"/>
              <w:ind w:left="0" w:hanging="2"/>
              <w:jc w:val="both"/>
              <w:rPr>
                <w:rFonts w:ascii="Times New Roman" w:eastAsia="Times New Roman" w:hAnsi="Times New Roman"/>
                <w:b/>
                <w:bCs/>
                <w:sz w:val="20"/>
                <w:szCs w:val="20"/>
              </w:rPr>
            </w:pPr>
            <w:r w:rsidRPr="00527E3A">
              <w:rPr>
                <w:rFonts w:ascii="Times New Roman" w:eastAsia="Times New Roman" w:hAnsi="Times New Roman"/>
                <w:b/>
                <w:bCs/>
                <w:sz w:val="20"/>
                <w:szCs w:val="20"/>
              </w:rPr>
              <w:t>20</w:t>
            </w:r>
          </w:p>
        </w:tc>
        <w:tc>
          <w:tcPr>
            <w:tcW w:w="3179" w:type="dxa"/>
            <w:gridSpan w:val="2"/>
            <w:vAlign w:val="center"/>
          </w:tcPr>
          <w:p w14:paraId="06122E9B"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sz w:val="20"/>
                <w:szCs w:val="20"/>
              </w:rPr>
              <w:t>писмени испит</w:t>
            </w:r>
          </w:p>
        </w:tc>
        <w:tc>
          <w:tcPr>
            <w:tcW w:w="1237" w:type="dxa"/>
            <w:vAlign w:val="center"/>
          </w:tcPr>
          <w:p w14:paraId="0292ADE7" w14:textId="77777777" w:rsidR="002432E1" w:rsidRDefault="002432E1" w:rsidP="00527E3A">
            <w:pPr>
              <w:tabs>
                <w:tab w:val="left" w:pos="567"/>
              </w:tabs>
              <w:spacing w:after="60"/>
              <w:ind w:left="0" w:hanging="2"/>
              <w:jc w:val="both"/>
              <w:rPr>
                <w:rFonts w:ascii="Times New Roman" w:eastAsia="Times New Roman" w:hAnsi="Times New Roman"/>
                <w:sz w:val="20"/>
                <w:szCs w:val="20"/>
              </w:rPr>
            </w:pPr>
          </w:p>
        </w:tc>
      </w:tr>
      <w:tr w:rsidR="002432E1" w14:paraId="311AD9FA" w14:textId="77777777">
        <w:trPr>
          <w:trHeight w:val="227"/>
          <w:jc w:val="center"/>
        </w:trPr>
        <w:tc>
          <w:tcPr>
            <w:tcW w:w="3111" w:type="dxa"/>
            <w:vAlign w:val="center"/>
          </w:tcPr>
          <w:p w14:paraId="64FB61EE"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sz w:val="20"/>
                <w:szCs w:val="20"/>
              </w:rPr>
              <w:t>практична настава</w:t>
            </w:r>
          </w:p>
        </w:tc>
        <w:tc>
          <w:tcPr>
            <w:tcW w:w="1941" w:type="dxa"/>
            <w:vAlign w:val="center"/>
          </w:tcPr>
          <w:p w14:paraId="1AE8D8E8" w14:textId="77777777" w:rsidR="002432E1" w:rsidRPr="00527E3A" w:rsidRDefault="002432E1" w:rsidP="00527E3A">
            <w:pPr>
              <w:tabs>
                <w:tab w:val="left" w:pos="567"/>
              </w:tabs>
              <w:spacing w:after="60"/>
              <w:ind w:left="0" w:hanging="2"/>
              <w:jc w:val="both"/>
              <w:rPr>
                <w:rFonts w:ascii="Times New Roman" w:eastAsia="Times New Roman" w:hAnsi="Times New Roman"/>
                <w:b/>
                <w:bCs/>
                <w:sz w:val="20"/>
                <w:szCs w:val="20"/>
              </w:rPr>
            </w:pPr>
          </w:p>
        </w:tc>
        <w:tc>
          <w:tcPr>
            <w:tcW w:w="3179" w:type="dxa"/>
            <w:gridSpan w:val="2"/>
            <w:vAlign w:val="center"/>
          </w:tcPr>
          <w:p w14:paraId="71D5EFE7" w14:textId="42042335"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sz w:val="20"/>
                <w:szCs w:val="20"/>
              </w:rPr>
              <w:t>усмени исп</w:t>
            </w:r>
            <w:r>
              <w:rPr>
                <w:rFonts w:ascii="Times New Roman" w:eastAsia="Times New Roman" w:hAnsi="Times New Roman"/>
                <w:sz w:val="20"/>
                <w:szCs w:val="20"/>
                <w:lang w:val="sr-Cyrl-RS"/>
              </w:rPr>
              <w:t>и</w:t>
            </w:r>
            <w:r>
              <w:rPr>
                <w:rFonts w:ascii="Times New Roman" w:eastAsia="Times New Roman" w:hAnsi="Times New Roman"/>
                <w:sz w:val="20"/>
                <w:szCs w:val="20"/>
              </w:rPr>
              <w:t>т</w:t>
            </w:r>
          </w:p>
        </w:tc>
        <w:tc>
          <w:tcPr>
            <w:tcW w:w="1237" w:type="dxa"/>
            <w:vAlign w:val="center"/>
          </w:tcPr>
          <w:p w14:paraId="376176E4" w14:textId="77777777" w:rsidR="002432E1" w:rsidRPr="00527E3A" w:rsidRDefault="0038685B" w:rsidP="00527E3A">
            <w:pPr>
              <w:tabs>
                <w:tab w:val="left" w:pos="567"/>
              </w:tabs>
              <w:spacing w:after="60"/>
              <w:ind w:left="0" w:hanging="2"/>
              <w:jc w:val="both"/>
              <w:rPr>
                <w:rFonts w:ascii="Times New Roman" w:eastAsia="Times New Roman" w:hAnsi="Times New Roman"/>
                <w:b/>
                <w:bCs/>
                <w:sz w:val="20"/>
                <w:szCs w:val="20"/>
              </w:rPr>
            </w:pPr>
            <w:r w:rsidRPr="00527E3A">
              <w:rPr>
                <w:rFonts w:ascii="Times New Roman" w:eastAsia="Times New Roman" w:hAnsi="Times New Roman"/>
                <w:b/>
                <w:bCs/>
                <w:sz w:val="20"/>
                <w:szCs w:val="20"/>
              </w:rPr>
              <w:t>40</w:t>
            </w:r>
          </w:p>
        </w:tc>
      </w:tr>
      <w:tr w:rsidR="002432E1" w14:paraId="2CDF7A0F" w14:textId="77777777">
        <w:trPr>
          <w:trHeight w:val="227"/>
          <w:jc w:val="center"/>
        </w:trPr>
        <w:tc>
          <w:tcPr>
            <w:tcW w:w="3111" w:type="dxa"/>
            <w:vAlign w:val="center"/>
          </w:tcPr>
          <w:p w14:paraId="6E291ACB"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sz w:val="20"/>
                <w:szCs w:val="20"/>
              </w:rPr>
              <w:t>колоквијум-и</w:t>
            </w:r>
          </w:p>
        </w:tc>
        <w:tc>
          <w:tcPr>
            <w:tcW w:w="1941" w:type="dxa"/>
            <w:vAlign w:val="center"/>
          </w:tcPr>
          <w:p w14:paraId="39F5C8D2" w14:textId="77777777" w:rsidR="002432E1" w:rsidRPr="00527E3A" w:rsidRDefault="002432E1" w:rsidP="00527E3A">
            <w:pPr>
              <w:tabs>
                <w:tab w:val="left" w:pos="567"/>
              </w:tabs>
              <w:spacing w:after="60"/>
              <w:ind w:left="0" w:hanging="2"/>
              <w:jc w:val="both"/>
              <w:rPr>
                <w:rFonts w:ascii="Times New Roman" w:eastAsia="Times New Roman" w:hAnsi="Times New Roman"/>
                <w:b/>
                <w:bCs/>
                <w:sz w:val="20"/>
                <w:szCs w:val="20"/>
              </w:rPr>
            </w:pPr>
          </w:p>
        </w:tc>
        <w:tc>
          <w:tcPr>
            <w:tcW w:w="3179" w:type="dxa"/>
            <w:gridSpan w:val="2"/>
            <w:vAlign w:val="center"/>
          </w:tcPr>
          <w:p w14:paraId="2525E97F"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i/>
                <w:sz w:val="20"/>
                <w:szCs w:val="20"/>
              </w:rPr>
              <w:t>..........</w:t>
            </w:r>
          </w:p>
        </w:tc>
        <w:tc>
          <w:tcPr>
            <w:tcW w:w="1237" w:type="dxa"/>
            <w:vAlign w:val="center"/>
          </w:tcPr>
          <w:p w14:paraId="3A7B725F" w14:textId="77777777" w:rsidR="002432E1" w:rsidRDefault="002432E1" w:rsidP="00527E3A">
            <w:pPr>
              <w:tabs>
                <w:tab w:val="left" w:pos="567"/>
              </w:tabs>
              <w:spacing w:after="60"/>
              <w:ind w:left="0" w:hanging="2"/>
              <w:jc w:val="both"/>
              <w:rPr>
                <w:rFonts w:ascii="Times New Roman" w:eastAsia="Times New Roman" w:hAnsi="Times New Roman"/>
                <w:sz w:val="20"/>
                <w:szCs w:val="20"/>
              </w:rPr>
            </w:pPr>
          </w:p>
        </w:tc>
      </w:tr>
      <w:tr w:rsidR="002432E1" w14:paraId="6025EC2F" w14:textId="77777777">
        <w:trPr>
          <w:trHeight w:val="227"/>
          <w:jc w:val="center"/>
        </w:trPr>
        <w:tc>
          <w:tcPr>
            <w:tcW w:w="3111" w:type="dxa"/>
            <w:vAlign w:val="center"/>
          </w:tcPr>
          <w:p w14:paraId="145A593C" w14:textId="77777777" w:rsidR="002432E1" w:rsidRDefault="0038685B" w:rsidP="00527E3A">
            <w:pPr>
              <w:tabs>
                <w:tab w:val="left" w:pos="567"/>
              </w:tabs>
              <w:spacing w:after="60"/>
              <w:ind w:left="0" w:hanging="2"/>
              <w:jc w:val="both"/>
              <w:rPr>
                <w:rFonts w:ascii="Times New Roman" w:eastAsia="Times New Roman" w:hAnsi="Times New Roman"/>
                <w:sz w:val="20"/>
                <w:szCs w:val="20"/>
              </w:rPr>
            </w:pPr>
            <w:r>
              <w:rPr>
                <w:rFonts w:ascii="Times New Roman" w:eastAsia="Times New Roman" w:hAnsi="Times New Roman"/>
                <w:sz w:val="20"/>
                <w:szCs w:val="20"/>
              </w:rPr>
              <w:t>семинар-и</w:t>
            </w:r>
          </w:p>
        </w:tc>
        <w:tc>
          <w:tcPr>
            <w:tcW w:w="1941" w:type="dxa"/>
            <w:vAlign w:val="center"/>
          </w:tcPr>
          <w:p w14:paraId="691E06B8" w14:textId="77777777" w:rsidR="002432E1" w:rsidRPr="00527E3A" w:rsidRDefault="0038685B" w:rsidP="00527E3A">
            <w:pPr>
              <w:tabs>
                <w:tab w:val="left" w:pos="567"/>
              </w:tabs>
              <w:spacing w:after="60"/>
              <w:ind w:left="0" w:hanging="2"/>
              <w:jc w:val="both"/>
              <w:rPr>
                <w:rFonts w:ascii="Times New Roman" w:eastAsia="Times New Roman" w:hAnsi="Times New Roman"/>
                <w:b/>
                <w:bCs/>
                <w:sz w:val="20"/>
                <w:szCs w:val="20"/>
              </w:rPr>
            </w:pPr>
            <w:r w:rsidRPr="00527E3A">
              <w:rPr>
                <w:rFonts w:ascii="Times New Roman" w:eastAsia="Times New Roman" w:hAnsi="Times New Roman"/>
                <w:b/>
                <w:bCs/>
                <w:sz w:val="20"/>
                <w:szCs w:val="20"/>
              </w:rPr>
              <w:t>40</w:t>
            </w:r>
          </w:p>
        </w:tc>
        <w:tc>
          <w:tcPr>
            <w:tcW w:w="3179" w:type="dxa"/>
            <w:gridSpan w:val="2"/>
            <w:vAlign w:val="center"/>
          </w:tcPr>
          <w:p w14:paraId="3FF4BC53" w14:textId="77777777" w:rsidR="002432E1" w:rsidRDefault="002432E1" w:rsidP="00527E3A">
            <w:pPr>
              <w:tabs>
                <w:tab w:val="left" w:pos="567"/>
              </w:tabs>
              <w:spacing w:after="60"/>
              <w:ind w:left="0" w:hanging="2"/>
              <w:jc w:val="both"/>
              <w:rPr>
                <w:rFonts w:ascii="Times New Roman" w:eastAsia="Times New Roman" w:hAnsi="Times New Roman"/>
                <w:sz w:val="20"/>
                <w:szCs w:val="20"/>
              </w:rPr>
            </w:pPr>
          </w:p>
        </w:tc>
        <w:tc>
          <w:tcPr>
            <w:tcW w:w="1237" w:type="dxa"/>
            <w:vAlign w:val="center"/>
          </w:tcPr>
          <w:p w14:paraId="2AE9A32E" w14:textId="77777777" w:rsidR="002432E1" w:rsidRDefault="002432E1" w:rsidP="00527E3A">
            <w:pPr>
              <w:tabs>
                <w:tab w:val="left" w:pos="567"/>
              </w:tabs>
              <w:spacing w:after="60"/>
              <w:ind w:left="0" w:hanging="2"/>
              <w:jc w:val="both"/>
              <w:rPr>
                <w:rFonts w:ascii="Times New Roman" w:eastAsia="Times New Roman" w:hAnsi="Times New Roman"/>
                <w:sz w:val="20"/>
                <w:szCs w:val="20"/>
              </w:rPr>
            </w:pPr>
          </w:p>
        </w:tc>
      </w:tr>
    </w:tbl>
    <w:p w14:paraId="19BE091C" w14:textId="77777777" w:rsidR="002432E1" w:rsidRDefault="002432E1" w:rsidP="00527E3A">
      <w:pPr>
        <w:ind w:left="0" w:hanging="2"/>
        <w:jc w:val="both"/>
      </w:pPr>
    </w:p>
    <w:sectPr w:rsidR="002432E1">
      <w:pgSz w:w="12240" w:h="15840"/>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2E1"/>
    <w:rsid w:val="002432E1"/>
    <w:rsid w:val="0038685B"/>
    <w:rsid w:val="00527E3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8B5CA"/>
  <w15:docId w15:val="{DB3AF996-C51E-6149-811B-0E3F1C1A2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cs="Times New Roman"/>
      <w:position w:val="-1"/>
      <w:lang w:eastAsia="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afhdBa1kjLfcEaD6LXAW65w91Q==">AMUW2mUkaLlaoZw3ImOCRgi2Rn4+oMhEi7cbM/wpuPYgwuA26ogGeOAX5zoCUwdv1zTFbtwOe0b4tkPFDUDu+IIUhIi7kJunzAfIqHT4PNnVDlRVbks+bg8=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1021</Words>
  <Characters>5824</Characters>
  <Application>Microsoft Office Word</Application>
  <DocSecurity>0</DocSecurity>
  <Lines>48</Lines>
  <Paragraphs>13</Paragraphs>
  <ScaleCrop>false</ScaleCrop>
  <Company/>
  <LinksUpToDate>false</LinksUpToDate>
  <CharactersWithSpaces>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ivana.sunderic</dc:creator>
  <cp:lastModifiedBy>Janja Simentić</cp:lastModifiedBy>
  <cp:revision>3</cp:revision>
  <dcterms:created xsi:type="dcterms:W3CDTF">2021-04-23T21:22:00Z</dcterms:created>
  <dcterms:modified xsi:type="dcterms:W3CDTF">2021-06-09T19:51:00Z</dcterms:modified>
</cp:coreProperties>
</file>